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0471E" w:rsidP="00742C77">
      <w:pPr>
        <w:spacing w:after="0"/>
        <w:jc w:val="right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42C77" w:rsidRDefault="004372D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</w:t>
      </w:r>
    </w:p>
    <w:p w:rsidR="004372DA" w:rsidRPr="005C5BF8" w:rsidRDefault="00742C77" w:rsidP="007232D0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ВЕРХНЕГРАЙВОРОНСКОГО</w:t>
      </w:r>
      <w:r w:rsidR="004372DA" w:rsidRPr="005C5BF8">
        <w:rPr>
          <w:b w:val="0"/>
          <w:bCs w:val="0"/>
          <w:sz w:val="24"/>
          <w:szCs w:val="24"/>
        </w:rPr>
        <w:t xml:space="preserve"> СЕЛЬСОВЕТА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5C5BF8" w:rsidRDefault="004372D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5C5BF8" w:rsidRDefault="004372D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372DA" w:rsidRPr="00B76C01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DE5A41" w:rsidRDefault="00C0471E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39A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8839A6">
        <w:rPr>
          <w:rFonts w:ascii="Times New Roman" w:hAnsi="Times New Roman" w:cs="Times New Roman"/>
        </w:rPr>
        <w:t xml:space="preserve">29.10.2019 </w:t>
      </w:r>
      <w:r w:rsidR="004372DA">
        <w:rPr>
          <w:rFonts w:ascii="Times New Roman" w:hAnsi="Times New Roman" w:cs="Times New Roman"/>
        </w:rPr>
        <w:t xml:space="preserve"> года</w:t>
      </w:r>
      <w:r w:rsidR="004372DA"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372DA">
        <w:rPr>
          <w:rFonts w:ascii="Times New Roman" w:hAnsi="Times New Roman" w:cs="Times New Roman"/>
        </w:rPr>
        <w:t xml:space="preserve">     </w:t>
      </w:r>
      <w:r w:rsidR="00DE5A41">
        <w:rPr>
          <w:rFonts w:ascii="Times New Roman" w:hAnsi="Times New Roman" w:cs="Times New Roman"/>
        </w:rPr>
        <w:t xml:space="preserve">  </w:t>
      </w:r>
      <w:r w:rsidR="00E5572C">
        <w:rPr>
          <w:rFonts w:ascii="Times New Roman" w:hAnsi="Times New Roman" w:cs="Times New Roman"/>
        </w:rPr>
        <w:t xml:space="preserve">                          №</w:t>
      </w:r>
      <w:r w:rsidR="008839A6">
        <w:rPr>
          <w:rFonts w:ascii="Times New Roman" w:hAnsi="Times New Roman" w:cs="Times New Roman"/>
        </w:rPr>
        <w:t>49</w:t>
      </w:r>
      <w:r w:rsidR="00E5572C">
        <w:rPr>
          <w:rFonts w:ascii="Times New Roman" w:hAnsi="Times New Roman" w:cs="Times New Roman"/>
        </w:rPr>
        <w:t xml:space="preserve"> </w:t>
      </w:r>
      <w:r w:rsidR="004372DA" w:rsidRPr="008170A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B76C01" w:rsidRDefault="00601A69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4372DA"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3C417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3C4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B76C01" w:rsidRDefault="003C417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5572C">
        <w:rPr>
          <w:rFonts w:ascii="Times New Roman" w:hAnsi="Times New Roman" w:cs="Times New Roman"/>
          <w:sz w:val="24"/>
          <w:szCs w:val="24"/>
        </w:rPr>
        <w:t>2020-2022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01A69">
        <w:rPr>
          <w:rFonts w:ascii="Times New Roman" w:hAnsi="Times New Roman" w:cs="Times New Roman"/>
          <w:sz w:val="24"/>
          <w:szCs w:val="24"/>
        </w:rPr>
        <w:t>.г.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3C4171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="004372DA"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72C">
        <w:rPr>
          <w:rFonts w:ascii="Times New Roman" w:hAnsi="Times New Roman" w:cs="Times New Roman"/>
          <w:sz w:val="24"/>
          <w:szCs w:val="24"/>
        </w:rPr>
        <w:t xml:space="preserve"> на 2020-2022</w:t>
      </w:r>
      <w:r w:rsidR="00601A69"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E5572C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94488">
        <w:rPr>
          <w:rFonts w:ascii="Times New Roman" w:hAnsi="Times New Roman" w:cs="Times New Roman"/>
          <w:sz w:val="24"/>
          <w:szCs w:val="24"/>
        </w:rPr>
        <w:t xml:space="preserve"> сельсовета от 16</w:t>
      </w:r>
      <w:r w:rsidR="00E5572C">
        <w:rPr>
          <w:rFonts w:ascii="Times New Roman" w:hAnsi="Times New Roman" w:cs="Times New Roman"/>
          <w:sz w:val="24"/>
          <w:szCs w:val="24"/>
        </w:rPr>
        <w:t>.10.2018</w:t>
      </w:r>
      <w:r w:rsidR="00243980">
        <w:rPr>
          <w:rFonts w:ascii="Times New Roman" w:hAnsi="Times New Roman" w:cs="Times New Roman"/>
          <w:sz w:val="24"/>
          <w:szCs w:val="24"/>
        </w:rPr>
        <w:t xml:space="preserve">г. № </w:t>
      </w:r>
      <w:r w:rsidR="00E94488">
        <w:rPr>
          <w:rFonts w:ascii="Times New Roman" w:hAnsi="Times New Roman" w:cs="Times New Roman"/>
          <w:sz w:val="24"/>
          <w:szCs w:val="24"/>
        </w:rPr>
        <w:t>68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E5572C">
        <w:rPr>
          <w:rFonts w:ascii="Times New Roman" w:hAnsi="Times New Roman" w:cs="Times New Roman"/>
          <w:sz w:val="24"/>
          <w:szCs w:val="24"/>
          <w:lang w:eastAsia="ru-RU"/>
        </w:rPr>
        <w:t>с 01.01.2020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ение вступает в силу с 01.01.2020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742C77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Н.П.Залузский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</w:t>
      </w:r>
    </w:p>
    <w:p w:rsidR="00DE5A4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01A69" w:rsidRPr="00F16681" w:rsidRDefault="00601A6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601A69" w:rsidRDefault="00601A69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742C77" w:rsidRDefault="00601A6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</w:p>
    <w:p w:rsidR="00B92539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C0471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8839A6">
        <w:rPr>
          <w:bCs/>
        </w:rPr>
        <w:t>29.10.2019  года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№ </w:t>
      </w:r>
      <w:r w:rsidR="008839A6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49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5572C">
        <w:rPr>
          <w:rFonts w:ascii="Times New Roman" w:hAnsi="Times New Roman" w:cs="Times New Roman"/>
          <w:b/>
          <w:bCs/>
          <w:sz w:val="24"/>
          <w:szCs w:val="24"/>
        </w:rPr>
        <w:t>2020-2022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г.г.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3C417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5572C">
        <w:rPr>
          <w:rFonts w:ascii="Times New Roman" w:hAnsi="Times New Roman" w:cs="Times New Roman"/>
          <w:b/>
          <w:bCs/>
          <w:sz w:val="24"/>
          <w:szCs w:val="24"/>
        </w:rPr>
        <w:t>2020-2022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3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E5572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повышению энергетической эффективности муниципальных учреждений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2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0,5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2020-2022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601A69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CF6AEB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2020-2022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-Динамика расходов бюджета муниципального образования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E5572C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E5572C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E5572C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2019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разработки и внедрения эффективной системы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E5572C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1590"/>
        <w:gridCol w:w="1739"/>
        <w:gridCol w:w="1039"/>
        <w:gridCol w:w="1039"/>
        <w:gridCol w:w="1567"/>
        <w:gridCol w:w="1205"/>
        <w:gridCol w:w="20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>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lang w:eastAsia="ru-RU"/>
              </w:rPr>
              <w:t>Верхнеграйворонского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5572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2575"/>
        <w:gridCol w:w="787"/>
        <w:gridCol w:w="738"/>
        <w:gridCol w:w="1457"/>
        <w:gridCol w:w="576"/>
        <w:gridCol w:w="776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E5572C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2020</w:t>
            </w:r>
            <w:r w:rsidR="00B9102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742C77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3"/>
        <w:gridCol w:w="2503"/>
        <w:gridCol w:w="3829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E5572C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C684D"/>
    <w:rsid w:val="000F4257"/>
    <w:rsid w:val="001A2353"/>
    <w:rsid w:val="001C28C6"/>
    <w:rsid w:val="001C7445"/>
    <w:rsid w:val="0020162A"/>
    <w:rsid w:val="00234838"/>
    <w:rsid w:val="00243980"/>
    <w:rsid w:val="00271624"/>
    <w:rsid w:val="00287FFC"/>
    <w:rsid w:val="002C3F85"/>
    <w:rsid w:val="003009AE"/>
    <w:rsid w:val="003073F8"/>
    <w:rsid w:val="003126EE"/>
    <w:rsid w:val="003201DF"/>
    <w:rsid w:val="00355A41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601A69"/>
    <w:rsid w:val="00650F0F"/>
    <w:rsid w:val="00654BDD"/>
    <w:rsid w:val="0068567A"/>
    <w:rsid w:val="00691239"/>
    <w:rsid w:val="00691598"/>
    <w:rsid w:val="00717A4E"/>
    <w:rsid w:val="007232D0"/>
    <w:rsid w:val="00723CDE"/>
    <w:rsid w:val="00742C77"/>
    <w:rsid w:val="007537D7"/>
    <w:rsid w:val="00770D3B"/>
    <w:rsid w:val="00786BAE"/>
    <w:rsid w:val="008170A5"/>
    <w:rsid w:val="0086259E"/>
    <w:rsid w:val="00880BFA"/>
    <w:rsid w:val="008839A6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B51F8"/>
    <w:rsid w:val="00AC41D5"/>
    <w:rsid w:val="00AC7B7B"/>
    <w:rsid w:val="00B55FF1"/>
    <w:rsid w:val="00B76C01"/>
    <w:rsid w:val="00B77EF9"/>
    <w:rsid w:val="00B91021"/>
    <w:rsid w:val="00B92539"/>
    <w:rsid w:val="00B934C8"/>
    <w:rsid w:val="00C0471E"/>
    <w:rsid w:val="00C140D9"/>
    <w:rsid w:val="00C54A76"/>
    <w:rsid w:val="00CC3DF8"/>
    <w:rsid w:val="00CF6AEB"/>
    <w:rsid w:val="00D648CD"/>
    <w:rsid w:val="00D876C5"/>
    <w:rsid w:val="00DB5255"/>
    <w:rsid w:val="00DC0EB2"/>
    <w:rsid w:val="00DE5A41"/>
    <w:rsid w:val="00DF50A5"/>
    <w:rsid w:val="00E00F3F"/>
    <w:rsid w:val="00E5572C"/>
    <w:rsid w:val="00E94488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2017-11-16T11:34:00Z</cp:lastPrinted>
  <dcterms:created xsi:type="dcterms:W3CDTF">2014-12-13T20:49:00Z</dcterms:created>
  <dcterms:modified xsi:type="dcterms:W3CDTF">2019-10-29T12:56:00Z</dcterms:modified>
</cp:coreProperties>
</file>